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9B1D3E">
        <w:rPr>
          <w:rFonts w:ascii="Arial Narrow" w:hAnsi="Arial Narrow"/>
          <w:sz w:val="22"/>
          <w:szCs w:val="22"/>
        </w:rPr>
        <w:t>, con cifras al 31 de Marzo de 2019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3C016A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54" type="#_x0000_t75" style="position:absolute;left:0;text-align:left;margin-left:1.3pt;margin-top:18.75pt;width:435pt;height:168.75pt;z-index:3;mso-position-horizontal-relative:text;mso-position-vertical-relative:text">
            <v:imagedata r:id="rId9" o:title=""/>
          </v:shape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806017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 importante señalar que en el mes de Octubre de 2018 el H. Congreso del Estado autorizó el refinanciamiento y/o reestructuración de la Deuda Pública de Largo Plazo, por lo que los saldos que se muestran ya reflejan el proceso que se llevó a cabo con base en dicha aprobación, habiendo quedado liquidados los financiamientos celebrados con anterioridad.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9B1D3E">
        <w:rPr>
          <w:rFonts w:ascii="Arial Narrow" w:hAnsi="Arial Narrow"/>
          <w:sz w:val="22"/>
          <w:szCs w:val="22"/>
        </w:rPr>
        <w:t>1 de Marzo de 2019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3C016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noProof/>
        </w:rPr>
        <w:pict>
          <v:shape id="_x0000_s5051" type="#_x0000_t75" style="position:absolute;margin-left:-1.8pt;margin-top:2.15pt;width:441.2pt;height:216.8pt;z-index:1;mso-position-horizontal-relative:text;mso-position-vertical-relative:text">
            <v:imagedata r:id="rId10" o:title=""/>
          </v:shape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B1D3E" w:rsidRDefault="009B1D3E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</w:t>
      </w:r>
      <w:r w:rsidR="009B1D3E">
        <w:rPr>
          <w:rFonts w:ascii="Arial Narrow" w:hAnsi="Arial Narrow"/>
          <w:sz w:val="12"/>
          <w:szCs w:val="12"/>
        </w:rPr>
        <w:t xml:space="preserve">que han estado vigentes. </w:t>
      </w:r>
      <w:r w:rsidR="00FC46D3">
        <w:rPr>
          <w:rFonts w:ascii="Arial Narrow" w:hAnsi="Arial Narrow"/>
          <w:sz w:val="12"/>
          <w:szCs w:val="12"/>
        </w:rPr>
        <w:t>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292230">
        <w:rPr>
          <w:rFonts w:ascii="Arial Narrow" w:hAnsi="Arial Narrow"/>
          <w:sz w:val="22"/>
          <w:szCs w:val="22"/>
        </w:rPr>
        <w:t>, con cifras al 31 de Marzo de 2019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3C016A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noProof/>
        </w:rPr>
        <w:pict>
          <v:shape id="_x0000_s5053" type="#_x0000_t75" style="position:absolute;left:0;text-align:left;margin-left:0;margin-top:18.9pt;width:435pt;height:46.5pt;z-index:2;mso-position-horizontal-relative:text;mso-position-vertical-relative:text">
            <v:imagedata r:id="rId11" o:title=""/>
          </v:shape>
        </w:pict>
      </w:r>
    </w:p>
    <w:sectPr w:rsidR="005910F2" w:rsidSect="00383A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 w:code="119"/>
      <w:pgMar w:top="4536" w:right="1259" w:bottom="851" w:left="2268" w:header="720" w:footer="748" w:gutter="0"/>
      <w:pgNumType w:start="7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6A" w:rsidRDefault="003C016A">
      <w:r>
        <w:separator/>
      </w:r>
    </w:p>
  </w:endnote>
  <w:endnote w:type="continuationSeparator" w:id="0">
    <w:p w:rsidR="003C016A" w:rsidRDefault="003C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83A4E">
      <w:rPr>
        <w:rStyle w:val="Nmerodepgina"/>
        <w:noProof/>
      </w:rPr>
      <w:t>75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6A" w:rsidRDefault="003C016A">
      <w:r>
        <w:separator/>
      </w:r>
    </w:p>
  </w:footnote>
  <w:footnote w:type="continuationSeparator" w:id="0">
    <w:p w:rsidR="003C016A" w:rsidRDefault="003C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3C016A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3C016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3C016A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61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828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9BE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223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A4E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1AD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016A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BB9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017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95E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683A"/>
    <w:rsid w:val="008578D8"/>
    <w:rsid w:val="00857943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1D3E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31D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45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3B5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39F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CC8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2948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D798C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2B1C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55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89F3-B92D-4A7A-B087-DBF6C8EF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11183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1058</cp:revision>
  <cp:lastPrinted>2020-04-03T15:02:00Z</cp:lastPrinted>
  <dcterms:created xsi:type="dcterms:W3CDTF">2014-08-01T19:35:00Z</dcterms:created>
  <dcterms:modified xsi:type="dcterms:W3CDTF">2020-04-03T15:02:00Z</dcterms:modified>
</cp:coreProperties>
</file>